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/>
      </w:pPr>
      <w:r>
        <w:rPr>
          <w:b/>
          <w:bCs/>
          <w:sz w:val="30"/>
          <w:szCs w:val="30"/>
        </w:rPr>
        <w:t xml:space="preserve">Периоды формирования «северного» стажа  </w:t>
      </w:r>
    </w:p>
    <w:p>
      <w:pPr>
        <w:pStyle w:val="Normal"/>
        <w:jc w:val="center"/>
        <w:rPr/>
      </w:pPr>
      <w:r>
        <w:rPr>
          <w:b/>
          <w:bCs/>
          <w:sz w:val="30"/>
          <w:szCs w:val="30"/>
        </w:rPr>
        <w:t>для будущих пенсионеров-северян</w:t>
      </w:r>
    </w:p>
    <w:p>
      <w:pPr>
        <w:pStyle w:val="Normal"/>
        <w:jc w:val="center"/>
        <w:rPr>
          <w:rFonts w:ascii="Liberation Serif" w:hAnsi="Liberation Serif"/>
        </w:rPr>
      </w:pPr>
      <w:r>
        <w:rPr/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Граждане, отработавшие в условиях Крайнего Севера 15 лет или в местности, приравненной к Крайнему Северу, 20 лет, могут выйти на пенсию на 5 лет раньше общеустановленного пенсионного возраста: женщины в 55 лет, мужчины — в 60 (по завершении переходного периода).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Женщины с двумя детьми, которые при наличии 17 лет работы в местности, приравненной к Крайнему Северу, или 12 лет работы в районе Крайнего Севера, могут выйти на пенсию в 50 лет.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Но для наличия необходимого «северного» стажа мало просто проживать на Крайнем Севере, необходимо там именно работать. В соответствии с действующим законодательством есть периоды, которые не входят в «северный» стаж, хотя засчитываются в страховой. Например, уход за ребёнком до 1,5 лет: это время засчитывается в страховой стаж гражданина, даёт пенсионные коэффициенты, но не влияет на формирование «северного» стажа (периоды ухода за ребёнком до 1,5 лет включаются в «северный стаж» только до 06.10.1992 в соответствии с действовавшим в то время законодательством).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К периодам, которые также не входят в «северный» стаж относятся, в том числе, прохождение военной службы; получение гражданином пособия по безработице; прогулы; периоды простоя (как по вине работодателя, так и по вине работника); дополнительные отпуска, не предусмотренные ТК РФ; донорские дни; дополнительные дни отдыха родителей, воспитывающих детей-инвалидов; исполнение государственных обязанностей (военные сборы). Учеба в вузе также не входит ни в страховой, ни в «северный» стаж.</w:t>
      </w:r>
    </w:p>
    <w:p>
      <w:pPr>
        <w:pStyle w:val="Normal"/>
        <w:jc w:val="both"/>
        <w:rPr/>
      </w:pPr>
      <w:r>
        <w:rPr>
          <w:sz w:val="28"/>
          <w:szCs w:val="28"/>
        </w:rPr>
        <w:tab/>
      </w:r>
      <w:r>
        <w:rPr>
          <w:b/>
          <w:bCs/>
          <w:i/>
          <w:iCs/>
          <w:sz w:val="28"/>
          <w:szCs w:val="28"/>
        </w:rPr>
        <w:t xml:space="preserve">Сегодня в Волжском и 13 муниципальных районах в составе Центра ПФР № 1 проживают 5 750 пенсионеров-северян. 244 женщины, имеющие «северный» стаж и воспитавшие 2 и более детей, получают досрочную пенсию.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К слову, при переезде из районов Крайнего Севера  в другие регионы страны, в том числе в Волгоградскую область, пенсионеры-северяне могут рассчитывать на компенсацию расходов, связанных со сменой места жительства. 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8"/>
          <w:szCs w:val="28"/>
        </w:rPr>
        <w:t>ЦЕНТР ПФР № 1</w:t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8"/>
          <w:szCs w:val="28"/>
        </w:rPr>
        <w:t>по установлению пенсий</w:t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8"/>
          <w:szCs w:val="28"/>
        </w:rPr>
        <w:t>в Волгоградской области</w:t>
      </w:r>
    </w:p>
    <w:p>
      <w:pPr>
        <w:pStyle w:val="Normal"/>
        <w:jc w:val="right"/>
        <w:rPr>
          <w:rFonts w:ascii="Century Gothic" w:hAnsi="Century Gothic"/>
          <w:b/>
          <w:b/>
          <w:bCs/>
          <w:color w:val="006699"/>
          <w:sz w:val="26"/>
          <w:szCs w:val="26"/>
        </w:rPr>
      </w:pPr>
      <w:r>
        <w:rPr>
          <w:rFonts w:ascii="Century Gothic" w:hAnsi="Century Gothic"/>
          <w:b/>
          <w:bCs/>
          <w:color w:val="006699"/>
          <w:sz w:val="26"/>
          <w:szCs w:val="26"/>
        </w:rPr>
      </w:r>
    </w:p>
    <w:p>
      <w:pPr>
        <w:pStyle w:val="Normal"/>
        <w:jc w:val="center"/>
        <w:rPr>
          <w:rFonts w:ascii="Liberation Serif" w:hAnsi="Liberation Serif" w:eastAsia="Times New Roman" w:cs="Times New Roman"/>
          <w:b/>
          <w:b/>
          <w:bCs/>
          <w:color w:val="006699"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olor w:val="006699"/>
          <w:sz w:val="28"/>
          <w:szCs w:val="28"/>
          <w:lang w:eastAsia="ru-RU"/>
        </w:rPr>
      </w:r>
    </w:p>
    <w:p>
      <w:pPr>
        <w:pStyle w:val="Normal"/>
        <w:jc w:val="right"/>
        <w:rPr/>
      </w:pPr>
      <w:r>
        <w:rPr/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entury Gothic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3"/>
    <w:pPr/>
    <w:rPr/>
  </w:style>
  <w:style w:type="paragraph" w:styleId="2">
    <w:name w:val="Заголовок 2"/>
    <w:basedOn w:val="Style13"/>
    <w:pPr/>
    <w:rPr/>
  </w:style>
  <w:style w:type="paragraph" w:styleId="3">
    <w:name w:val="Заголовок 3"/>
    <w:basedOn w:val="Style13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paragraph" w:styleId="Style13">
    <w:name w:val="Заголовок"/>
    <w:basedOn w:val="Normal"/>
    <w:next w:val="Style14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Основной текст"/>
    <w:basedOn w:val="Normal"/>
    <w:pPr>
      <w:spacing w:lineRule="auto" w:line="288" w:before="0" w:after="140"/>
    </w:pPr>
    <w:rPr/>
  </w:style>
  <w:style w:type="paragraph" w:styleId="Style15">
    <w:name w:val="Список"/>
    <w:basedOn w:val="Style14"/>
    <w:pPr/>
    <w:rPr>
      <w:rFonts w:cs="Mangal"/>
    </w:rPr>
  </w:style>
  <w:style w:type="paragraph" w:styleId="Style16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Style18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19">
    <w:name w:val="Содержимое врезки"/>
    <w:basedOn w:val="Normal"/>
    <w:qFormat/>
    <w:pPr/>
    <w:rPr/>
  </w:style>
  <w:style w:type="paragraph" w:styleId="Style20">
    <w:name w:val="Верхний колонтитул"/>
    <w:basedOn w:val="Normal"/>
    <w:pPr/>
    <w:rPr/>
  </w:style>
  <w:style w:type="paragraph" w:styleId="Style21">
    <w:name w:val="Блочная цитата"/>
    <w:basedOn w:val="Normal"/>
    <w:qFormat/>
    <w:pPr/>
    <w:rPr/>
  </w:style>
  <w:style w:type="paragraph" w:styleId="Style22">
    <w:name w:val="Заглавие"/>
    <w:basedOn w:val="Style13"/>
    <w:pPr/>
    <w:rPr/>
  </w:style>
  <w:style w:type="paragraph" w:styleId="Style23">
    <w:name w:val="Подзаголовок"/>
    <w:basedOn w:val="Style13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13</TotalTime>
  <Application>LibreOffice/4.4.3.2$Windows_x86 LibreOffice_project/88805f81e9fe61362df02b9941de8e38a9b5fd16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2021-09-01T13:44:53Z</dcterms:modified>
  <cp:revision>99</cp:revision>
</cp:coreProperties>
</file>